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95CF95">
      <w:pPr>
        <w:pStyle w:val="8"/>
        <w:spacing w:line="240" w:lineRule="auto"/>
        <w:ind w:left="709" w:firstLine="0"/>
        <w:jc w:val="center"/>
        <w:rPr>
          <w:b/>
        </w:rPr>
      </w:pPr>
      <w:r>
        <w:rPr>
          <w:b/>
        </w:rPr>
        <w:t>ОТЧЕТ АССОЦИАЦИИ САМОРЕГУЛИРУЕМАЯ ОРГАНИЗАЦИЯ «СТРОИТЕЛИ ЧЕРНОЗЕМЬЯ» О ДЕЯТЕЛЬНОСТИ ЕЁ ЧЛЕНОВ</w:t>
      </w:r>
    </w:p>
    <w:p w14:paraId="7549C598">
      <w:pPr>
        <w:pStyle w:val="8"/>
        <w:spacing w:line="240" w:lineRule="auto"/>
        <w:ind w:left="709" w:firstLine="0"/>
        <w:jc w:val="center"/>
        <w:rPr>
          <w:b/>
        </w:rPr>
      </w:pPr>
      <w:r>
        <w:rPr>
          <w:b/>
        </w:rPr>
        <w:t xml:space="preserve"> В 2025 ГОДУ</w:t>
      </w:r>
    </w:p>
    <w:p w14:paraId="7B90CA2E">
      <w:pPr>
        <w:pStyle w:val="8"/>
        <w:spacing w:line="240" w:lineRule="auto"/>
        <w:ind w:left="709" w:firstLine="0"/>
        <w:jc w:val="center"/>
        <w:rPr>
          <w:b/>
        </w:rPr>
      </w:pPr>
      <w:r>
        <w:rPr>
          <w:b/>
        </w:rPr>
        <w:t xml:space="preserve"> </w:t>
      </w:r>
      <w:r>
        <w:rPr>
          <w:rFonts w:hint="default"/>
          <w:b/>
          <w:lang w:val="ru-RU"/>
        </w:rPr>
        <w:t>(</w:t>
      </w:r>
      <w:r>
        <w:rPr>
          <w:b/>
          <w:sz w:val="22"/>
          <w:szCs w:val="22"/>
        </w:rPr>
        <w:t>НА ОСНОВАНИИ ИНФОРМАЦИИ, ПРЕДОСТАВЛЕННОЙ ИМИ В ФОРМЕ ОТЧЕТОВ</w:t>
      </w:r>
      <w:r>
        <w:rPr>
          <w:rFonts w:hint="default"/>
          <w:b/>
          <w:sz w:val="22"/>
          <w:szCs w:val="22"/>
          <w:lang w:val="ru-RU"/>
        </w:rPr>
        <w:t>)</w:t>
      </w:r>
      <w:bookmarkStart w:id="0" w:name="_GoBack"/>
      <w:bookmarkEnd w:id="0"/>
      <w:r>
        <w:rPr>
          <w:b/>
          <w:sz w:val="22"/>
          <w:szCs w:val="22"/>
        </w:rPr>
        <w:t>.</w:t>
      </w:r>
    </w:p>
    <w:p w14:paraId="22FF1B41">
      <w:pPr>
        <w:pStyle w:val="8"/>
        <w:spacing w:line="240" w:lineRule="auto"/>
        <w:ind w:left="0"/>
        <w:rPr>
          <w:rFonts w:eastAsia="Times New Roman"/>
        </w:rPr>
      </w:pPr>
    </w:p>
    <w:p w14:paraId="2709D86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ИЗМЕНЕНИЕ КОЛИЧЕСТВЕННОГО И КАЧЕСТВЕННОГО СОСТАВА ЧЛЕНОВ АССОЦИАЦИИ ЗА ОТЧЁТНЫЙ ПЕРИОД</w:t>
      </w:r>
    </w:p>
    <w:p w14:paraId="095CCE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01.01.2025 года в АСРО «Строители Черноземья» состояло 110 юридических лиц и индивидуальных предпринимателей.</w:t>
      </w:r>
    </w:p>
    <w:p w14:paraId="4D3E9C2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отчетном году из реестра членов Ассоциации исключены 10 организаций (в 2024 году- 8, в 2023 году -11, в 2022 году – 15, в 2021 году – 5), в том числе: </w:t>
      </w:r>
    </w:p>
    <w:p w14:paraId="655D95E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- 9 организаций в связи с добровольным выходом: ООО «РЕМСТРОЙТОРГ», ООО «Галант», ООО «МеталлКаркас», ООО «СУОР-22», ООО СЗ «ЖилСтрой», ООО «СУОР-25», ИП Иванов В.В., ООО «Статус Профи», ООО «Контакт-плюс».   </w:t>
      </w:r>
    </w:p>
    <w:p w14:paraId="06EBE88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- 1 организация по</w:t>
      </w:r>
      <w:r>
        <w:rPr>
          <w:rFonts w:ascii="Times New Roman" w:hAnsi="Times New Roman" w:cs="Times New Roman"/>
          <w:sz w:val="28"/>
          <w:szCs w:val="28"/>
        </w:rPr>
        <w:t xml:space="preserve"> решению Совета Ассоциации за несоблюдение условий членства: ООО «Спецстрой МСО».</w:t>
      </w:r>
    </w:p>
    <w:p w14:paraId="4A6AFA6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2025 году новыми членами АСРО «Строители Черноземья» стали 11 организаций (в 2024 году - 5, в 2023 году – 8, в 2022 году – 7, в 2021 году –14): ООО «ЭСС», ООО «ТЕПЛОГАЗСТРОЙ», ООО «РемСервис», ООО «ЭСК», ООО «КОНКРЕТ», ООО «ГСК», ООО «БИЗЗОН», ИП Шмырев С.А., ИП Зайцев В.С., ООО «Воин-Строй», ООО СЗ ГК «АБС ЖБИ». </w:t>
      </w:r>
    </w:p>
    <w:p w14:paraId="48CB209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по состоянию на 31.12.2025 года в реестре членов Ассоциации состояло </w:t>
      </w:r>
      <w:r>
        <w:rPr>
          <w:rFonts w:ascii="Times New Roman" w:hAnsi="Times New Roman" w:cs="Times New Roman"/>
          <w:b/>
          <w:sz w:val="28"/>
          <w:szCs w:val="28"/>
        </w:rPr>
        <w:t>111 организаций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17C8A0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месту регистрации члены Ассоциации распределены следующим образом:</w:t>
      </w:r>
    </w:p>
    <w:p w14:paraId="25515A2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г. Воронеж 89 организаций;</w:t>
      </w:r>
    </w:p>
    <w:p w14:paraId="7743A7C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г. Борисоглебск – 2 организации; </w:t>
      </w:r>
    </w:p>
    <w:p w14:paraId="4387307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г. Бутурлиновка – 1 организация;</w:t>
      </w:r>
    </w:p>
    <w:p w14:paraId="7E08126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- г. Калач – 1 организация;</w:t>
      </w:r>
    </w:p>
    <w:p w14:paraId="3BE10E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г. Лиски – 4 организации; </w:t>
      </w:r>
    </w:p>
    <w:p w14:paraId="6F0F0A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г. Нововоронеж – 2 организации;</w:t>
      </w:r>
    </w:p>
    <w:p w14:paraId="09FE0D5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г. Павловск – 1 организация;</w:t>
      </w:r>
    </w:p>
    <w:p w14:paraId="7E47D68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г. Россошь – 4 организации; </w:t>
      </w:r>
    </w:p>
    <w:p w14:paraId="396E45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с. Верхняя Хава – 1 организация;</w:t>
      </w:r>
    </w:p>
    <w:p w14:paraId="32AD7F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с. Воробьевка – 1 организация;</w:t>
      </w:r>
    </w:p>
    <w:p w14:paraId="23C27E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с. Новая Усмань –4 организации;</w:t>
      </w:r>
    </w:p>
    <w:p w14:paraId="5B9D2D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- с. Ямное Рамонского района – 1 организация.</w:t>
      </w:r>
    </w:p>
    <w:p w14:paraId="27A89D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минувшем году 1 организация ООО «Строй-Инвест 36» внесла взнос в компенсационный фонд обеспечения договорных обязательств в связи с получением права осуществлять строительство, реконструкцию, капитальный ремонт, снос объектов капитального строительства по договорам строительного подряда, заключаемым с использованием конкурентных способов заключения договоров.</w:t>
      </w:r>
    </w:p>
    <w:p w14:paraId="6A6C6B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Внесли дополнительные взносы в компенсационные фонды Ассоциации и повысили уровни ответственности: </w:t>
      </w:r>
    </w:p>
    <w:p w14:paraId="11F4B2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связи с увеличением стоимости объекта по одному договору – 4 организации: ООО «Монтажавтоматика», ООО «Дорожник» ИНН 3605004704, ГУП ВО «Облкоммунсервис», ООО «СМУР» и ООО «РемСервис»;</w:t>
      </w:r>
    </w:p>
    <w:p w14:paraId="598D46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 связи с изменением предельного размера обязательств по договорам, заключенным с использованием конкурентных способов заключения договоров – ООО «ЖБИ 1».</w:t>
      </w:r>
    </w:p>
    <w:p w14:paraId="473DFB7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в зависимости от размеров взносов, внесенных в </w:t>
      </w:r>
      <w:r>
        <w:rPr>
          <w:rFonts w:ascii="Times New Roman" w:hAnsi="Times New Roman" w:cs="Times New Roman"/>
          <w:b/>
          <w:sz w:val="28"/>
          <w:szCs w:val="28"/>
        </w:rPr>
        <w:t>компенсационный фонд возмещения вреда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AEE94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- 71 организация имеет право осуществлять строительство, реконструкцию, капитальный ремонт и снос объектов капитального строительства, стоимость которого по одному договору не превышает 90 млн. рублей (первый уровень ответственности члена Ассоциации);</w:t>
      </w:r>
    </w:p>
    <w:p w14:paraId="0ECB588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- 27 организаций имеют такое же право, если стоимость объекта по одному договору не превышает 500 млн. рублей (второй уровень ответственности члена Ассоциации); </w:t>
      </w:r>
    </w:p>
    <w:p w14:paraId="1FE2450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-11организаций: ООО «Агросалон Черноземье», ООО «АТХС», АО СЗ ФК «АКСИОМА», АО «Воронежсинтезкаучук», ООО СЗ «ВМУ-2», ООО «Воронежстройреконструкция» ИНН 3616008757, ООО «Корифей»,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АО «Коттедж-Индустрия», ООО «Стройинжиниринг», ООО «Техстрой 2007» и АО фирма «СМУР» имеют право осуществлять строительство объектов, если их стоимости по одному договору не превышает 3 млрд. рублей (третий уровень ответственности члена Ассоциации);</w:t>
      </w:r>
    </w:p>
    <w:p w14:paraId="7437B9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организации: ЗАО «РеконЭнерго» и ООО «Элеваторспецстрой» имеют право осуществлять строительство объектов, если их стоимости по одному договору не превышает 10 млрд. рублей (четвертый уровень ответственности члена Ассоциации).</w:t>
      </w:r>
    </w:p>
    <w:p w14:paraId="02A194F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федерального законодательства в Ассоциации сформирован </w:t>
      </w:r>
      <w:r>
        <w:rPr>
          <w:rFonts w:ascii="Times New Roman" w:hAnsi="Times New Roman" w:cs="Times New Roman"/>
          <w:b/>
          <w:bCs/>
          <w:sz w:val="28"/>
          <w:szCs w:val="28"/>
        </w:rPr>
        <w:t>КФ обеспечения договорных обязательств,</w:t>
      </w:r>
      <w:r>
        <w:rPr>
          <w:rFonts w:ascii="Times New Roman" w:hAnsi="Times New Roman" w:cs="Times New Roman"/>
          <w:sz w:val="28"/>
          <w:szCs w:val="28"/>
        </w:rPr>
        <w:t xml:space="preserve"> взносы в который внесли члены Ассоциации, выразившие намерения осуществлять строительство, реконструкцию, капитальный ремонт объектов капитального строительства по договорам строительного подряда, заключаемым с использованием конкурентных способов заключения договоров. </w:t>
      </w:r>
    </w:p>
    <w:p w14:paraId="0353A0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зависимости от размера внесенного взноса в этот </w:t>
      </w:r>
      <w:r>
        <w:rPr>
          <w:rFonts w:ascii="Times New Roman" w:hAnsi="Times New Roman" w:cs="Times New Roman"/>
          <w:bCs/>
          <w:sz w:val="28"/>
          <w:szCs w:val="28"/>
        </w:rPr>
        <w:t>фонд:</w:t>
      </w:r>
    </w:p>
    <w:p w14:paraId="1891AF4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- 27 организации имеют право заключать договоры с использованием конкурентных способов, если предельный размер обязательств по таким договорам не превышает 90 млн. рублей (первый уровень ответственности члена Ассоциации);</w:t>
      </w:r>
    </w:p>
    <w:p w14:paraId="19EC16E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- 10 организаций имеют право заключать договоры с использованием конкурентных способов, если предельный размер обязательств по таким договорам не превышает 500 млн. рублей (второй уровень ответственности члена Ассоциации);</w:t>
      </w:r>
    </w:p>
    <w:p w14:paraId="67E4413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- 4 организации: АО «Коттедж-Индустрия», ООО СЗ «ВМУ-2», АО фирма «СМУР» и ООО «Агросалон Черноземье» имеют право заключать договоры с использованием конкурентных способов заключения договоров с предельным размером обязательств по ним до 3 млрд. рублей (третий уровень ответственности члена Ассоциации);</w:t>
      </w:r>
    </w:p>
    <w:p w14:paraId="4CDF7E0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 организация: ООО «ВСР» (ИНН 3616008757) имеет право заключать договоры с использованием конкурентных способов заключения договоров с предельным размером обязательств по ним до 10 млрд. рублей (четвертый уровень ответственности члена Ассоциации);</w:t>
      </w:r>
    </w:p>
    <w:p w14:paraId="48D650E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 организация: ЗАО «РеконЭнерго» имеет право заключать договоры с использованием конкурентных способов заключения договоров с предельным размером обязательств по ним свыше 10 млрд. рублей (пятый уровень ответственности члена Ассоциации).</w:t>
      </w:r>
    </w:p>
    <w:p w14:paraId="2A979EC0">
      <w:pPr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общего числа членов Ассоциации 24 организации: ООО «АТХС», ООО «Вентран-Телеком», ООО «ВоронежПутьстрой», АО «Воронежсинтезкаучук», ООО «ВСР» ИНН 3616008757, ОАО «Воронежэнергоремонт», ООО «ГИДРОСПЕЦФУНДАМЕНТСТРОЙ», ООО «ГСС», ООО «Инженерное Бюро ВАСО»,  ООО «Карбофер Метсервис»,  ООО «Компания «Технопарк-В»,  ООО «Корифей», АО «Коттедж-Индустрия», ООО «Монтажавтоматика», ЗАО «РеконЭнерго», ООО «РМУ», ООО «САТОМС», ООО «Строй Финанс», ООО «Стройинжиниринг», ООО «Строймаркет», АО фирма «СМУР», ООО «ЦентрЭлектроМонтаж», ООО «ЭКОТРАСТ» и ООО «Элеваторспецстрой» имеют право осуществлять строительство</w:t>
      </w:r>
      <w:r>
        <w:rPr>
          <w:rFonts w:ascii="Times New Roman" w:hAnsi="Times New Roman" w:cs="Times New Roman"/>
          <w:b/>
          <w:sz w:val="28"/>
          <w:szCs w:val="28"/>
        </w:rPr>
        <w:t xml:space="preserve"> особо опасных, технически сложных и уникальных объектов</w:t>
      </w:r>
      <w:r>
        <w:rPr>
          <w:rFonts w:ascii="Times New Roman" w:hAnsi="Times New Roman" w:cs="Times New Roman"/>
          <w:sz w:val="28"/>
          <w:szCs w:val="28"/>
        </w:rPr>
        <w:t xml:space="preserve">, а 6 из них:  ООО «Инженерное Бюро ВАСО», ООО «Карбофер Метсервис», ЗАО «РеконЭнерго», ООО «Россошанское монтажное управление», ООО «САТОМС» и АО «фирма СМУР»,  имеют также право работать на строительстве </w:t>
      </w:r>
      <w:r>
        <w:rPr>
          <w:rFonts w:ascii="Times New Roman" w:hAnsi="Times New Roman" w:cs="Times New Roman"/>
          <w:b/>
          <w:sz w:val="28"/>
          <w:szCs w:val="28"/>
        </w:rPr>
        <w:t>объектов с использованием атомной энергии.</w:t>
      </w:r>
    </w:p>
    <w:p w14:paraId="5876013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p w14:paraId="663CD38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ПРОИЗВОДСТВЕННАЯ ДЕЯТЕЛЬНОСТЬ ЧЛЕНОВ АССОЦИАЦИИ:</w:t>
      </w:r>
    </w:p>
    <w:p w14:paraId="319AED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2.1. ОБЩИЕ РЕЗУЛЬТАТЫ </w:t>
      </w:r>
    </w:p>
    <w:p w14:paraId="3DCB821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2025 году члены Ассоциации выполняли следующие основные виды деятельности: </w:t>
      </w:r>
    </w:p>
    <w:p w14:paraId="06E7065D">
      <w:pPr>
        <w:spacing w:after="0" w:line="240" w:lineRule="auto"/>
        <w:ind w:right="62" w:firstLine="709"/>
        <w:contextualSpacing/>
        <w:jc w:val="both"/>
        <w:rPr>
          <w:rStyle w:val="7"/>
          <w:rFonts w:ascii="Times New Roman" w:hAnsi="Times New Roman" w:cs="Times New Roman" w:eastAsiaTheme="minorHAnsi"/>
          <w:color w:val="auto"/>
          <w:spacing w:val="0"/>
          <w:sz w:val="28"/>
          <w:szCs w:val="28"/>
        </w:rPr>
      </w:pPr>
      <w:r>
        <w:rPr>
          <w:rStyle w:val="7"/>
          <w:rFonts w:ascii="Times New Roman" w:hAnsi="Times New Roman" w:cs="Times New Roman" w:eastAsiaTheme="minorHAnsi"/>
          <w:color w:val="auto"/>
          <w:spacing w:val="0"/>
          <w:sz w:val="28"/>
          <w:szCs w:val="28"/>
        </w:rPr>
        <w:t xml:space="preserve">- 9 организаций осуществляли функции застройщиков, самостоятельно осуществляющих строительство, реконструкцию и капитальный ремонт объектов капитального строительства: АО «Воронежсинтезкаучук», ФГБОУ ВО ВГТУ, ООО СЗ «ВМУ-2», ООО СЗ ГК «АБС ЖБИ», ООО СЗ «Легос», </w:t>
      </w:r>
      <w:r>
        <w:rPr>
          <w:rStyle w:val="7"/>
          <w:rFonts w:ascii="Times New Roman" w:hAnsi="Times New Roman" w:cs="Times New Roman" w:eastAsiaTheme="minorHAnsi"/>
          <w:color w:val="auto"/>
          <w:spacing w:val="0"/>
          <w:sz w:val="28"/>
          <w:szCs w:val="28"/>
        </w:rPr>
        <w:br w:type="textWrapping"/>
      </w:r>
      <w:r>
        <w:rPr>
          <w:rStyle w:val="7"/>
          <w:rFonts w:ascii="Times New Roman" w:hAnsi="Times New Roman" w:cs="Times New Roman" w:eastAsiaTheme="minorHAnsi"/>
          <w:color w:val="auto"/>
          <w:spacing w:val="0"/>
          <w:sz w:val="28"/>
          <w:szCs w:val="28"/>
        </w:rPr>
        <w:t>АО СЗ ФК «Аксиома», ООО СЗ СФК «Воронежстрой», АО «ВГЭС», АО «Воронежнефтепродукт»;</w:t>
      </w:r>
    </w:p>
    <w:p w14:paraId="74867C68">
      <w:pPr>
        <w:spacing w:after="0" w:line="240" w:lineRule="auto"/>
        <w:ind w:right="62" w:firstLine="709"/>
        <w:contextualSpacing/>
        <w:jc w:val="both"/>
        <w:rPr>
          <w:rStyle w:val="7"/>
          <w:rFonts w:ascii="Times New Roman" w:hAnsi="Times New Roman" w:cs="Times New Roman" w:eastAsiaTheme="minorHAnsi"/>
          <w:color w:val="auto"/>
          <w:spacing w:val="0"/>
          <w:sz w:val="28"/>
          <w:szCs w:val="28"/>
        </w:rPr>
      </w:pPr>
      <w:r>
        <w:rPr>
          <w:rStyle w:val="7"/>
          <w:rFonts w:ascii="Times New Roman" w:hAnsi="Times New Roman" w:cs="Times New Roman" w:eastAsiaTheme="minorHAnsi"/>
          <w:color w:val="auto"/>
          <w:spacing w:val="0"/>
          <w:sz w:val="28"/>
          <w:szCs w:val="28"/>
        </w:rPr>
        <w:t>- 4 организации осуществляли функции технического заказчика: МКУ «ДЕЗ КС», БУ ВО «Единая дирекция», ГУП «Облкоммунсервис», ООО «Стройзаказ»;</w:t>
      </w:r>
    </w:p>
    <w:p w14:paraId="6EFF7837">
      <w:pPr>
        <w:tabs>
          <w:tab w:val="left" w:pos="2610"/>
        </w:tabs>
        <w:spacing w:after="0" w:line="240" w:lineRule="auto"/>
        <w:ind w:firstLine="709"/>
        <w:jc w:val="both"/>
        <w:rPr>
          <w:rStyle w:val="7"/>
          <w:rFonts w:ascii="Times New Roman" w:hAnsi="Times New Roman" w:cs="Times New Roman" w:eastAsiaTheme="minorHAnsi"/>
          <w:color w:val="auto"/>
          <w:spacing w:val="0"/>
          <w:sz w:val="28"/>
          <w:szCs w:val="28"/>
        </w:rPr>
      </w:pPr>
      <w:r>
        <w:rPr>
          <w:rStyle w:val="7"/>
          <w:rFonts w:ascii="Times New Roman" w:hAnsi="Times New Roman" w:cs="Times New Roman" w:eastAsiaTheme="minorHAnsi"/>
          <w:color w:val="auto"/>
          <w:spacing w:val="0"/>
          <w:sz w:val="28"/>
          <w:szCs w:val="28"/>
        </w:rPr>
        <w:t>- 65 организаций работали по договорам строительного подряда, заключаемым напрямую с застройщиком, техническим заказчиком или лицом, ответственным за эксплуатацию здания;</w:t>
      </w:r>
    </w:p>
    <w:p w14:paraId="610E0AFB">
      <w:pPr>
        <w:tabs>
          <w:tab w:val="left" w:pos="2610"/>
        </w:tabs>
        <w:spacing w:after="0" w:line="240" w:lineRule="auto"/>
        <w:ind w:firstLine="709"/>
        <w:jc w:val="both"/>
        <w:rPr>
          <w:rStyle w:val="7"/>
          <w:rFonts w:ascii="Times New Roman" w:hAnsi="Times New Roman" w:cs="Times New Roman" w:eastAsiaTheme="minorHAnsi"/>
          <w:color w:val="auto"/>
          <w:spacing w:val="0"/>
          <w:sz w:val="28"/>
          <w:szCs w:val="28"/>
        </w:rPr>
      </w:pPr>
      <w:r>
        <w:rPr>
          <w:rStyle w:val="7"/>
          <w:rFonts w:ascii="Times New Roman" w:hAnsi="Times New Roman" w:cs="Times New Roman" w:eastAsiaTheme="minorHAnsi"/>
          <w:color w:val="auto"/>
          <w:spacing w:val="0"/>
          <w:sz w:val="28"/>
          <w:szCs w:val="28"/>
        </w:rPr>
        <w:t>- 13 организаций (в 2024 году -10) строительной деятельностью не занимались в связи с отсутствием заключенных договоров;</w:t>
      </w:r>
    </w:p>
    <w:p w14:paraId="19E0C121">
      <w:pPr>
        <w:tabs>
          <w:tab w:val="left" w:pos="2610"/>
        </w:tabs>
        <w:spacing w:after="0" w:line="240" w:lineRule="auto"/>
        <w:ind w:firstLine="709"/>
        <w:jc w:val="both"/>
        <w:rPr>
          <w:rStyle w:val="7"/>
          <w:rFonts w:ascii="Times New Roman" w:hAnsi="Times New Roman" w:cs="Times New Roman" w:eastAsiaTheme="minorHAnsi"/>
          <w:color w:val="auto"/>
          <w:spacing w:val="0"/>
          <w:sz w:val="28"/>
          <w:szCs w:val="28"/>
        </w:rPr>
      </w:pPr>
      <w:r>
        <w:rPr>
          <w:rStyle w:val="7"/>
          <w:rFonts w:ascii="Times New Roman" w:hAnsi="Times New Roman" w:cs="Times New Roman" w:eastAsiaTheme="minorHAnsi"/>
          <w:color w:val="auto"/>
          <w:spacing w:val="0"/>
          <w:sz w:val="28"/>
          <w:szCs w:val="28"/>
        </w:rPr>
        <w:t>- остальные организации осуществляли функции подрядчика по договорам строительного подряда на выполнение отдельных видов работ.</w:t>
      </w:r>
    </w:p>
    <w:p w14:paraId="501C2D4D">
      <w:pPr>
        <w:spacing w:after="0" w:line="240" w:lineRule="auto"/>
        <w:ind w:right="62" w:firstLine="709"/>
        <w:contextualSpacing/>
        <w:jc w:val="both"/>
        <w:rPr>
          <w:rStyle w:val="7"/>
          <w:rFonts w:ascii="Times New Roman" w:hAnsi="Times New Roman" w:cs="Times New Roman" w:eastAsiaTheme="minorHAnsi"/>
          <w:color w:val="auto"/>
          <w:spacing w:val="0"/>
          <w:sz w:val="28"/>
          <w:szCs w:val="28"/>
        </w:rPr>
      </w:pPr>
      <w:r>
        <w:rPr>
          <w:rStyle w:val="7"/>
          <w:rFonts w:ascii="Times New Roman" w:hAnsi="Times New Roman" w:cs="Times New Roman" w:eastAsiaTheme="minorHAnsi"/>
          <w:color w:val="auto"/>
          <w:spacing w:val="0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бщий объем работ по строительству, реконструкции и капитальному ремонту объектов капитального строительства, выполненный организациями-подрядчиками, по итогам 2025 года составил 31 млрд. 816 млн. рублей, что на 4 млрд. 446 млн. рублей больше соответствующего показателя предшествующего периода (2024 год – 27 млрд. 370 млн. рублей).</w:t>
      </w:r>
    </w:p>
    <w:p w14:paraId="0F822154">
      <w:pPr>
        <w:spacing w:after="0" w:line="240" w:lineRule="auto"/>
        <w:ind w:right="6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отчетном периоде наиболее высоких показателей по объемам выполненных СМР добились следующие члены нашей Ассоциации, выполнившие работы на сумму свыше 1 млрд.рублей:</w:t>
      </w:r>
    </w:p>
    <w:p w14:paraId="72DF488A">
      <w:pPr>
        <w:spacing w:after="0" w:line="240" w:lineRule="auto"/>
        <w:ind w:right="6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ЗАО «РеконЭнерго» (генеральный директор Рябцев Максим Львович). Указанная организация выполнила СМР на сумму 4 млрд. 969 млн. рублей; </w:t>
      </w:r>
    </w:p>
    <w:p w14:paraId="5528F007">
      <w:pPr>
        <w:spacing w:after="0" w:line="240" w:lineRule="auto"/>
        <w:ind w:right="6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ООО «Элеваторспецстрой» (генеральный директор Балашов Александр Николаевич) - объем выполненных СМР 4 млрд. 482 млн. рублей;</w:t>
      </w:r>
    </w:p>
    <w:p w14:paraId="26E9FF13">
      <w:pPr>
        <w:spacing w:after="0" w:line="240" w:lineRule="auto"/>
        <w:ind w:right="6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АО «Коттедж-Индустрия» (генеральный директор Миронов Юрий Рустамович) объем выполненных СМР 2 млрд. 405 млн. рублей;</w:t>
      </w:r>
    </w:p>
    <w:p w14:paraId="73D34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ООО «РМУ» (директор Баулин Юрий Николаевич) - объем выполненных СМР 1 млрд. 780 млн. рублей;</w:t>
      </w:r>
    </w:p>
    <w:p w14:paraId="0EDF5222">
      <w:pPr>
        <w:spacing w:after="0" w:line="240" w:lineRule="auto"/>
        <w:ind w:right="6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ООО «Стройинжиниринг» (генеральный директор Смольянов Николай Васильевич) - объем выполненных СМР 1 млрд. 733 млн. рублей;</w:t>
      </w:r>
    </w:p>
    <w:p w14:paraId="0490C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ООО «ВСР» (генеральный директор Кондратьев Юрий Алексеевич, директор Поцебнева Ольга Николаевна) - объем выполненных СМР 1 млрд.704 млн. рублей;</w:t>
      </w:r>
    </w:p>
    <w:p w14:paraId="321E1B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ООО «Агросалон Черноземье» (генеральный директор Соколов Роман Сергеевич); </w:t>
      </w:r>
    </w:p>
    <w:p w14:paraId="447358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ООО фирма «ГСС» (генеральный директор Губин Евгений Александрович) – объем выполненных СМР 1 млрд.6 млн. рублей.</w:t>
      </w:r>
    </w:p>
    <w:p w14:paraId="51D86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EB3C63">
      <w:pPr>
        <w:spacing w:after="0" w:line="240" w:lineRule="auto"/>
        <w:ind w:firstLine="709"/>
        <w:jc w:val="both"/>
        <w:rPr>
          <w:rStyle w:val="7"/>
          <w:rFonts w:ascii="Times New Roman" w:hAnsi="Times New Roman" w:cs="Times New Roman" w:eastAsiaTheme="minorHAnsi"/>
          <w:color w:val="auto"/>
          <w:spacing w:val="0"/>
          <w:sz w:val="28"/>
          <w:szCs w:val="28"/>
        </w:rPr>
      </w:pPr>
      <w:r>
        <w:rPr>
          <w:rStyle w:val="7"/>
          <w:rFonts w:ascii="Times New Roman" w:hAnsi="Times New Roman" w:cs="Times New Roman" w:eastAsiaTheme="minorHAnsi"/>
          <w:color w:val="auto"/>
          <w:spacing w:val="0"/>
          <w:sz w:val="28"/>
          <w:szCs w:val="28"/>
        </w:rPr>
        <w:t xml:space="preserve">Общий объем инвестиций, вложенных в строительство жилых домов и объектов социально-бытового назначения заказчиками-застройщиками, входящими в состав Ассоциации, составил 4 млрд. 592 млн. рублей, что на 1 млрд. 108 млн. рублей больше объема инвестиций, направленных на капстроительство в 2024 году (было 3 млрд. 484 млн. рублей). </w:t>
      </w:r>
    </w:p>
    <w:p w14:paraId="49F56EA3">
      <w:pPr>
        <w:spacing w:after="0" w:line="240" w:lineRule="auto"/>
        <w:ind w:right="62" w:firstLine="709"/>
        <w:contextualSpacing/>
        <w:jc w:val="both"/>
        <w:rPr>
          <w:rStyle w:val="7"/>
          <w:rFonts w:ascii="Times New Roman" w:hAnsi="Times New Roman" w:cs="Times New Roman" w:eastAsiaTheme="minorHAnsi"/>
          <w:color w:val="auto"/>
          <w:spacing w:val="0"/>
          <w:sz w:val="28"/>
          <w:szCs w:val="28"/>
        </w:rPr>
      </w:pPr>
      <w:r>
        <w:rPr>
          <w:rStyle w:val="7"/>
          <w:rFonts w:ascii="Times New Roman" w:hAnsi="Times New Roman" w:cs="Times New Roman" w:eastAsiaTheme="minorHAnsi"/>
          <w:color w:val="auto"/>
          <w:spacing w:val="0"/>
          <w:sz w:val="28"/>
          <w:szCs w:val="28"/>
        </w:rPr>
        <w:t>В отчетном периоде самыми крупными инвесторами стали:</w:t>
      </w:r>
    </w:p>
    <w:p w14:paraId="6A59E9B7">
      <w:pPr>
        <w:spacing w:after="0" w:line="240" w:lineRule="auto"/>
        <w:ind w:right="62" w:firstLine="709"/>
        <w:contextualSpacing/>
        <w:jc w:val="both"/>
        <w:rPr>
          <w:rStyle w:val="7"/>
          <w:rFonts w:ascii="Times New Roman" w:hAnsi="Times New Roman" w:cs="Times New Roman" w:eastAsiaTheme="minorHAnsi"/>
          <w:color w:val="auto"/>
          <w:spacing w:val="0"/>
          <w:sz w:val="28"/>
          <w:szCs w:val="28"/>
        </w:rPr>
      </w:pPr>
      <w:r>
        <w:rPr>
          <w:rStyle w:val="7"/>
          <w:rFonts w:ascii="Times New Roman" w:hAnsi="Times New Roman" w:cs="Times New Roman" w:eastAsiaTheme="minorHAnsi"/>
          <w:color w:val="auto"/>
          <w:spacing w:val="0"/>
          <w:sz w:val="28"/>
          <w:szCs w:val="28"/>
        </w:rPr>
        <w:t>- ООО Специализированный застройщик «ВМУ-2» (генеральный директор Какунин Евгений Иванович) – объем инвестиций 1 млрд. 806 млн. рублей;</w:t>
      </w:r>
    </w:p>
    <w:p w14:paraId="266C8149">
      <w:pPr>
        <w:spacing w:after="0" w:line="240" w:lineRule="auto"/>
        <w:ind w:right="62" w:firstLine="709"/>
        <w:contextualSpacing/>
        <w:jc w:val="both"/>
        <w:rPr>
          <w:rStyle w:val="7"/>
          <w:rFonts w:ascii="Times New Roman" w:hAnsi="Times New Roman" w:cs="Times New Roman" w:eastAsiaTheme="minorHAnsi"/>
          <w:color w:val="auto"/>
          <w:spacing w:val="0"/>
          <w:sz w:val="28"/>
          <w:szCs w:val="28"/>
        </w:rPr>
      </w:pPr>
      <w:r>
        <w:rPr>
          <w:rStyle w:val="7"/>
          <w:rFonts w:ascii="Times New Roman" w:hAnsi="Times New Roman" w:cs="Times New Roman" w:eastAsiaTheme="minorHAnsi"/>
          <w:color w:val="auto"/>
          <w:spacing w:val="0"/>
          <w:sz w:val="28"/>
          <w:szCs w:val="28"/>
        </w:rPr>
        <w:t>- АО «Воронежсинтезкаучук» (генеральный директор Золототрубов Вячеслав Николаевич) – на капстроительство направлен 1 млрд. 186 млн. рублей.</w:t>
      </w:r>
    </w:p>
    <w:p w14:paraId="1BF16554">
      <w:pPr>
        <w:spacing w:after="0" w:line="240" w:lineRule="auto"/>
        <w:ind w:right="62" w:firstLine="709"/>
        <w:contextualSpacing/>
        <w:jc w:val="both"/>
        <w:rPr>
          <w:rStyle w:val="7"/>
          <w:rFonts w:ascii="Times New Roman" w:hAnsi="Times New Roman" w:cs="Times New Roman" w:eastAsiaTheme="minorHAnsi"/>
          <w:color w:val="auto"/>
          <w:spacing w:val="0"/>
          <w:sz w:val="28"/>
          <w:szCs w:val="28"/>
        </w:rPr>
      </w:pPr>
    </w:p>
    <w:p w14:paraId="6A2C2669">
      <w:pPr>
        <w:spacing w:after="0" w:line="240" w:lineRule="auto"/>
        <w:ind w:right="62" w:firstLine="709"/>
        <w:contextualSpacing/>
        <w:jc w:val="both"/>
        <w:rPr>
          <w:rStyle w:val="7"/>
          <w:rFonts w:ascii="Times New Roman" w:hAnsi="Times New Roman" w:cs="Times New Roman" w:eastAsiaTheme="minorHAnsi"/>
          <w:color w:val="auto"/>
          <w:spacing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минувшем году работники членов Ассоциации трудились на строительстве, реконструкции и капитальном ремонте 1610 объектов (в 2024 году - на 1369 объектах).</w:t>
      </w:r>
      <w:r>
        <w:rPr>
          <w:rStyle w:val="7"/>
          <w:rFonts w:ascii="Times New Roman" w:hAnsi="Times New Roman" w:cs="Times New Roman" w:eastAsiaTheme="minorHAnsi"/>
          <w:color w:val="auto"/>
          <w:spacing w:val="0"/>
          <w:sz w:val="28"/>
          <w:szCs w:val="28"/>
        </w:rPr>
        <w:t xml:space="preserve"> </w:t>
      </w:r>
    </w:p>
    <w:p w14:paraId="560BCF79">
      <w:pPr>
        <w:spacing w:after="0" w:line="240" w:lineRule="auto"/>
        <w:ind w:right="62" w:firstLine="709"/>
        <w:contextualSpacing/>
        <w:jc w:val="both"/>
        <w:rPr>
          <w:rStyle w:val="7"/>
          <w:rFonts w:ascii="Times New Roman" w:hAnsi="Times New Roman" w:cs="Times New Roman" w:eastAsiaTheme="minorHAnsi"/>
          <w:color w:val="auto"/>
          <w:spacing w:val="0"/>
          <w:sz w:val="28"/>
          <w:szCs w:val="28"/>
        </w:rPr>
      </w:pPr>
      <w:r>
        <w:rPr>
          <w:rStyle w:val="7"/>
          <w:rFonts w:ascii="Times New Roman" w:hAnsi="Times New Roman" w:cs="Times New Roman" w:eastAsiaTheme="minorHAnsi"/>
          <w:color w:val="auto"/>
          <w:spacing w:val="0"/>
          <w:sz w:val="28"/>
          <w:szCs w:val="28"/>
        </w:rPr>
        <w:t xml:space="preserve">Основной регион деятельности по строительству – г. Воронеж и Воронежская область. Дополнительные регионы – Московская, Ленинградская, Архангельская, Астраханская, Липецкая, Курская, Тамбовская, Самарская, Смоленская, Оренбургская и другие области, в том числе вновь присоединенный регион Российской Федерации – Запорожская область. </w:t>
      </w:r>
    </w:p>
    <w:p w14:paraId="66467C10">
      <w:pPr>
        <w:spacing w:after="0" w:line="240" w:lineRule="auto"/>
        <w:ind w:right="6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7"/>
          <w:rFonts w:ascii="Times New Roman" w:hAnsi="Times New Roman" w:cs="Times New Roman" w:eastAsiaTheme="minorHAnsi"/>
          <w:color w:val="auto"/>
          <w:spacing w:val="0"/>
          <w:sz w:val="28"/>
          <w:szCs w:val="28"/>
        </w:rPr>
        <w:t xml:space="preserve">Количество введенных в эксплуатацию объектов –1270 (2024 год – 941, 2023 год - 957). </w:t>
      </w:r>
      <w:r>
        <w:rPr>
          <w:rFonts w:ascii="Times New Roman" w:hAnsi="Times New Roman" w:cs="Times New Roman"/>
          <w:bCs/>
          <w:sz w:val="28"/>
          <w:szCs w:val="28"/>
        </w:rPr>
        <w:t>Наиболее крупные из них:</w:t>
      </w:r>
    </w:p>
    <w:p w14:paraId="548F152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14:paraId="65116D3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t xml:space="preserve">а) жилищное строительство: </w:t>
      </w:r>
    </w:p>
    <w:p w14:paraId="3E64E30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многоквартирный жилой дом по адресу: г. Воронеж, ул. Урицкого, 135, 137, Свердлова 5а</w:t>
      </w:r>
      <w:r>
        <w:rPr>
          <w:rFonts w:ascii="Times New Roman" w:hAnsi="Times New Roman" w:cs="Times New Roman"/>
          <w:bCs/>
          <w:sz w:val="28"/>
          <w:szCs w:val="28"/>
        </w:rPr>
        <w:t xml:space="preserve"> (заказчик – АО СЗ ФК «АКСИОМА, подрядчик – ООО «Техстрой 2007»);</w:t>
      </w:r>
    </w:p>
    <w:p w14:paraId="0A91790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жилой дом в г. Воронеж, ул. Ф. Тютчева, 107. поз.30 (1 этап) (заказчик – ООО СЗ «ВМУ - 2», подрядчик – ИП Высоцкий А.Ю.);</w:t>
      </w:r>
    </w:p>
    <w:p w14:paraId="3A330AD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- жилой дом в </w:t>
      </w:r>
      <w:r>
        <w:rPr>
          <w:rFonts w:ascii="Times New Roman" w:hAnsi="Times New Roman" w:cs="Times New Roman"/>
          <w:color w:val="000000"/>
          <w:sz w:val="28"/>
          <w:szCs w:val="28"/>
        </w:rPr>
        <w:t>г. Семилуки, ул. Маяковского, 3 (поз.1,2)</w:t>
      </w:r>
      <w:r>
        <w:rPr>
          <w:rFonts w:ascii="Times New Roman" w:hAnsi="Times New Roman" w:cs="Times New Roman"/>
          <w:bCs/>
          <w:sz w:val="28"/>
          <w:szCs w:val="28"/>
        </w:rPr>
        <w:t xml:space="preserve"> (заказчик – ООО СЗ СФК «Воронежстрой», подрядчик – АО «Воронежстрой»).</w:t>
      </w:r>
    </w:p>
    <w:p w14:paraId="4517065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088E05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t>б) Объекты производственного назначения:</w:t>
      </w:r>
    </w:p>
    <w:p w14:paraId="24E660FA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 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огистический комплекс – «Терминал сыпучих грузов», расположенный по адресу: Курская область, Касторенский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bCs/>
          <w:sz w:val="28"/>
          <w:szCs w:val="28"/>
        </w:rPr>
        <w:t xml:space="preserve">подрядчик – ООО «Элеваторспецстрой»); </w:t>
      </w:r>
    </w:p>
    <w:p w14:paraId="43AC5E5B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выполнение 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</w:rPr>
        <w:t>работ по реконструкции электрофильтров вращающихся печей цеха обжига клинкера АО "Михайловцемент" (первая очередь) в р.п. Октябрьский Рязанская область (</w:t>
      </w:r>
      <w:r>
        <w:rPr>
          <w:rFonts w:ascii="Times New Roman" w:hAnsi="Times New Roman" w:cs="Times New Roman"/>
          <w:bCs/>
          <w:sz w:val="28"/>
          <w:szCs w:val="28"/>
        </w:rPr>
        <w:t>подрядчик – ООО «РМУ»);</w:t>
      </w:r>
    </w:p>
    <w:p w14:paraId="29AB4EE6">
      <w:pPr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строительство однопролетных зданий производственного назначения с благоустройством прилегающей территории в Новоусманском районе Воронежской области (подрядчик ООО «Промспецмонтаж»).  </w:t>
      </w:r>
    </w:p>
    <w:p w14:paraId="5F4DCD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16F122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t>в) Инженерные сети и сооружения:</w:t>
      </w:r>
    </w:p>
    <w:p w14:paraId="060773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 строительство блочно-модульной паро-водогрейной котельной Лискинского завода «Спецжелезобетон» и строительство газопровода высокого давления для свиноводческого комплекса АГРОЭКО в Павловском муниципальном районе Воронежской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(подрядчик – ООО «ГСС»);</w:t>
      </w:r>
    </w:p>
    <w:p w14:paraId="17C2A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выполнение работ по техническому перевооружению и ремонту участков магистральных теплотрасс филиала АО «РИР Энерго» - «Воронежская генерация» (подрядчик – ООО «Стройтранс»);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9F51A3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 реконструкция газопровода высокого давления по адресу: Воронежская область, Рамонский район, д.Богданово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(подрядчик – ИП Андросов И.М.).</w:t>
      </w:r>
    </w:p>
    <w:p w14:paraId="33B6E8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71AA9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t xml:space="preserve">г) Автомобильные дороги, их обустройство: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7736DA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 устройство стационарного наружного освещения на автомобильных дорогах федерального значения М-7 "Волга" на территории Московской области,  М-2 «Крым» на территории Тульской области, Р-21 «Кола» -  подъезд к аэропорту города Мурманск а также на автомобильных дорогах местного значения ряда муниципальных районов Воронежской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(подрядчик - ЗАО «РеконЭнерго»);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142695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 выполнение работ по реконструкции транспортной развязки на пересечении Ленинского проспекта и улицы Остужева в г. Воронеже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(подрядчик - </w:t>
      </w:r>
      <w:r>
        <w:rPr>
          <w:rFonts w:ascii="Times New Roman" w:hAnsi="Times New Roman" w:cs="Times New Roman"/>
          <w:sz w:val="28"/>
          <w:szCs w:val="28"/>
        </w:rPr>
        <w:t>АО фирма «СМУР»);</w:t>
      </w:r>
    </w:p>
    <w:p w14:paraId="11B938B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выполнение работ по капитальному ремонту ремонту автомобильных дорог общего пользования местного значения на территории Бутурлиновского, Борисоглебского, Богучарского, Верхнемамонского, Новохоперского, Поворинского и Терновского муниципальных районов Воронежской области, (подрядчик – ООО «Дорожник», г. Бутурлиновка).</w:t>
      </w:r>
    </w:p>
    <w:p w14:paraId="4AFCE57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D088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д) строительная деятельность во вновь присоединенных регионах Российской Федерации:</w:t>
      </w:r>
    </w:p>
    <w:p w14:paraId="747AB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капитальный ремонт Детской музыкальной школы, школы бокса им. В.Р. Манзули и Свято-Богоявленского монастыря </w:t>
      </w:r>
      <w:r>
        <w:rPr>
          <w:rFonts w:ascii="Times New Roman" w:hAnsi="Times New Roman" w:cs="Times New Roman"/>
          <w:sz w:val="28"/>
          <w:szCs w:val="28"/>
        </w:rPr>
        <w:t>в г. Энергодар Запорожской области (подрядчик – АО «Коттедж-Индустрия»).</w:t>
      </w:r>
    </w:p>
    <w:p w14:paraId="0BF46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A773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2.2.  УЧАСТИЕ ЧЛЕНОВ АССОЦИАЦИИ В ГОСЗАКУПКАХ И ГОСКОНТРАКТАХ. </w:t>
      </w:r>
    </w:p>
    <w:p w14:paraId="196127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отчетном периоде по договорам, заключенным с использованием конкурентных способов заключения договоров, работало 14 организаций из 43 членов Ассоциации, внесших взнос в КФ ОДО.  </w:t>
      </w:r>
    </w:p>
    <w:p w14:paraId="690F6D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Ими были заключены 23 контракта (45 в 2024 году, 46 в 2023 году, 39 в 2022 году, 52 в 2021 году) на общую сумму 5 002,9 млн. рублей, что на 110 млн. рублей меньше, чем аналогичный показатель 2024 года.</w:t>
      </w:r>
    </w:p>
    <w:p w14:paraId="1714A8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учетом работы на объектах, перешедших с предыдущих лет (31 контракт перешел с 2022-2024 гг.), совокупный объем исполненных контрактных обязательств за 2025 год составил 13 млрд. 801,96 млн. руб., что выше показателей прошлого года (2024 - 6 млрд. 779,77 млн. руб., 2023 год - 4 млрд. 19,5 млн. руб., 2022 год - 7 млрд. 741 млн. руб., 2021 год -  3 млрд. 59 млн. руб., 2020 год – 1 млрд.  644 млн. руб., 2019 год - 3 млрд. 861млн. рублей). </w:t>
      </w:r>
    </w:p>
    <w:p w14:paraId="536E0933">
      <w:pPr>
        <w:spacing w:before="12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переходящих строек по договорам, заключенным на конкурсной основе, в 2025 году работы производились на 58 объектах.</w:t>
      </w:r>
    </w:p>
    <w:p w14:paraId="31EDB680">
      <w:pPr>
        <w:spacing w:before="120"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2025 году работы по 46 объектам были закончены (в 2019 году – 65, в 2020 году – 36, в 2021 – 37, в 2022- 33, 2024 – 24), наиболее крупные из них: </w:t>
      </w:r>
    </w:p>
    <w:p w14:paraId="710F02E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Строительство Детской поликлиники, г.Острогожск, ул. Карла Маркса, д. 79. (генподрядчик- ООО «Воронежстройреконструкция»);</w:t>
      </w:r>
    </w:p>
    <w:p w14:paraId="57B81C8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Реконструкция МБОУ СОШ № 45 по ул. 9 Января, 46, г. Воронеж и поставка оборудования (генподрядчик АО «Коттедж-Индустрия»);</w:t>
      </w:r>
    </w:p>
    <w:p w14:paraId="5D8E898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Благоустройство территории обособленного подразделения Перкальский дендрологический парк (эколого-ботаническая станция "Пятигорск") Ботанического института им. В. Л. Комарова РАН, расположенного по адресу: г. Пятигорск, пос. Энергетик, Ставропольский (генподрядчик – ООО «Ремстрой»).</w:t>
      </w:r>
    </w:p>
    <w:p w14:paraId="09609C7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Капитальный ремонт «МКОУ Орловская СОШ», Воронежская обл., Новоусманский район, с. Орлово, ул. Пионерская, дом 14а (генподрядчик - ООО СЗ «Легос»);</w:t>
      </w:r>
    </w:p>
    <w:p w14:paraId="79DCB0E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Строительство блочно-модульной котельной с тепловыми сетями для теплоснабжения зданий школы и детского сада по ул. Меркулова, 12 и здания музея по ул. Меркулова, 10, расположенной по адресу: Воронежская область, Нижнедевицкий район, с. Першино, ул. Меркулова, 12» (генподрядчик - ГУП ВО «Облкоммунсервис»);</w:t>
      </w:r>
    </w:p>
    <w:p w14:paraId="2323713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Капитальный ремонт на объекте культурного наследия регионального значения «Дом Тюрина», (генподрядчик - ООО «СТЕПС»);</w:t>
      </w:r>
    </w:p>
    <w:p w14:paraId="2D6CDB6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сквера по ул. Олега Романова (2 этап) в г. Лиски Воронежской области (генподрядчик -  ООО «СТРИОТ»);</w:t>
      </w:r>
    </w:p>
    <w:p w14:paraId="226538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пешеходной зоны по ул. Карла Маркса в городе Острогожск Воронежской области» (генподрядчик - ГУП ВО «Облкоммунсервис»).</w:t>
      </w:r>
    </w:p>
    <w:p w14:paraId="1F1222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договорных обязательств, перешедших на 2025 год, составил 13 478,7 млн. руб. по 47 договорам (на 01.05.2025 - 15 млрд. руб. по 37 договорам, на 01.01.2024 - 12 млрд. 621,9 млн.руб. по 42 договорам, на 01.01.2023 - 3 млрд. 323 млн. рублей по 38 договорам);</w:t>
      </w:r>
    </w:p>
    <w:p w14:paraId="6A23ECF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Сохранение объекта культурного наследия регионального значения «Дом народный» по адресу: Воронежская обл., г. Богучар, ул. Шолохова, д.13 с приспособлением для современного использования под размещение МКУ «БРИМ» II этап» (генподрядчик – ООО «фирма «ВиС»).</w:t>
      </w:r>
    </w:p>
    <w:p w14:paraId="0A1902A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Выиграв процедуры на конкурентной основе, члены Ассоциации в текущем году продолжают трудиться на строительстве таких социально значимых объектов, как:</w:t>
      </w:r>
    </w:p>
    <w:p w14:paraId="72DAEFF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Строительство стационара со вспомогательными объектами для БУЗ ВО "Бутурлиновская РБ", Бутурлиновский муниципальный район (генподрядчик- ООО «Воронежстройреконструкция»);</w:t>
      </w:r>
    </w:p>
    <w:p w14:paraId="14808D9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Комплексный капитальный ремонт здания Вивария, расположенного по адресу: г. Москва, Каширское шоссе, д.34А. Стр2 (генподрядчик – ООО «Ремстрой»);</w:t>
      </w:r>
    </w:p>
    <w:p w14:paraId="2DD864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Строительство центра культурного развития в г. Тамбове» (генподрядчик - ООО «ЖБИ 1»).</w:t>
      </w:r>
    </w:p>
    <w:p w14:paraId="7BE0C10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EAC64B8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  <w:u w:val="single"/>
        </w:rPr>
      </w:pPr>
      <w:r>
        <w:rPr>
          <w:rFonts w:ascii="Times New Roman" w:hAnsi="Times New Roman" w:cs="Times New Roman"/>
          <w:b/>
          <w:sz w:val="27"/>
          <w:szCs w:val="27"/>
        </w:rPr>
        <w:t>2.3. КАДРОВЫЙ СОСТАВ ЧЛЕНОВ АССОЦИАЦИИ</w:t>
      </w:r>
    </w:p>
    <w:p w14:paraId="4F93613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 отчетном периоде общая численность работающих во входящих в Ассоциацию строительных организациях составила 6764 человека, в том числе 3628 рабочих и 2443 инженерно-технических работника.</w:t>
      </w:r>
    </w:p>
    <w:p w14:paraId="6A22203B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 соответствии с требованиями федерального законодательства состоящие в СРО организации для получения права на выполнение работ по строительству, реконструкции, капитальному ремонту и сносу объектов капитального строительства   должны иметь в своем штате на постоянной основе не менее 2-х специалистов, включенных в Национальный реестр специалистов.  Подавляющее большинство членов Ассоциации выполняют это требование, ими внесены в НРС сведения о 277 специалистах по организации строительства, которые соответствуют установленным федеральным законодательством и внутренними документами Ассоциации квалификационным требованиям.</w:t>
      </w:r>
    </w:p>
    <w:p w14:paraId="17579F36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Однако есть организации, нарушающие эти установленные обязательные требования. Так, ООО «МонолитСтрой», ООО «ХимПромМонтаж», ООО «ЦЧГ» на постоянной основе работают только по одному специалисту, сведения о которых внесены в Национальный реестр.</w:t>
      </w:r>
    </w:p>
    <w:p w14:paraId="35D14AC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Для осуществления права выполнять строительство, реконструкцию и капитальный ремонт особо опасных, технически сложных и уникальных объектов, а также объектов использования атомной энергии, в 2025 году у 24 членов Ассоциации в штате закреплены 151 специалист, соответствующий минимальным требованиям к членам саморегулируемых организации, установленным квалификационным требованиям по уровню и направлению образования, стажу работы по специальности.</w:t>
      </w:r>
    </w:p>
    <w:p w14:paraId="75E404B8">
      <w:pPr>
        <w:spacing w:after="0" w:line="240" w:lineRule="auto"/>
        <w:ind w:firstLine="709"/>
        <w:jc w:val="both"/>
        <w:rPr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14:paraId="467167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ИНЫЕ СВЕДЕНИЯ О ЧЛЕНАХ АССОЦИАЦИИ, ПРЕДОСТАВЛЕННЫЕ ИМИ В СОСТАВЕ ОТЧЕТОВ ЗА 2025 ГОД. ОТНЕСЕНИЕ ЧЛЕНОВ АССОЦИАЦИИ К УСТАНОВЛЕННЫМ </w:t>
      </w:r>
    </w:p>
    <w:p w14:paraId="004A46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отчетном периоде ряд организаций, выполняющих работы на </w:t>
      </w:r>
      <w:r>
        <w:rPr>
          <w:rFonts w:ascii="Times New Roman" w:hAnsi="Times New Roman" w:cs="Times New Roman"/>
          <w:bCs/>
          <w:sz w:val="28"/>
          <w:szCs w:val="28"/>
        </w:rPr>
        <w:t xml:space="preserve">строительстве, реконструкции, капитальном ремонте особо опасных, технически сложных и уникальных объектов </w:t>
      </w:r>
      <w:r>
        <w:rPr>
          <w:rFonts w:ascii="Times New Roman" w:hAnsi="Times New Roman" w:cs="Times New Roman"/>
          <w:sz w:val="28"/>
          <w:szCs w:val="28"/>
        </w:rPr>
        <w:t xml:space="preserve">допустили нарушения, которые согласно действующему Положению о контроле за деятельностью своих членов в части соблюдения ими требований стандартов и правил саморегулируемой организации, условий членства в АСРО «Строители Черноземья» являются </w:t>
      </w:r>
      <w:r>
        <w:rPr>
          <w:rFonts w:ascii="Times New Roman" w:hAnsi="Times New Roman" w:cs="Times New Roman"/>
          <w:b/>
          <w:sz w:val="28"/>
          <w:szCs w:val="28"/>
        </w:rPr>
        <w:t>факторами риска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bCs/>
          <w:sz w:val="28"/>
          <w:szCs w:val="28"/>
        </w:rPr>
        <w:t>используются для оценки тяжести потенциальных негативных последствий возможного несоблюдения обязательных требований, оценки вероятности их несоблюдения членами Ассоциации.</w:t>
      </w:r>
    </w:p>
    <w:p w14:paraId="4C08AFD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информации, содержащейся в </w:t>
      </w:r>
      <w:r>
        <w:rPr>
          <w:rFonts w:ascii="Times New Roman" w:hAnsi="Times New Roman" w:cs="Times New Roman"/>
          <w:bCs/>
          <w:sz w:val="28"/>
          <w:szCs w:val="28"/>
        </w:rPr>
        <w:t>предоставленных годовых отчетах организаций, а также сведений, предоставленных инспекциями труда и Госстройнадзора Воронежской области, и другими инспектирующими организациями, такие нарушения допустили следующие члены Ассоциации:</w:t>
      </w:r>
    </w:p>
    <w:p w14:paraId="6E64334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ООО «Карбофер Метсервис» получил предписание от инспекции Госстройнадзора Воронежской области о приостановлении деятельности;</w:t>
      </w:r>
    </w:p>
    <w:p w14:paraId="76DE30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АО «Воронежсинтезкаучук» получил от Верхне-Донского управления Ростехнадзора 2 предписания о выявленных нарушениях и постановление по делу об административных правонарушениях;</w:t>
      </w:r>
    </w:p>
    <w:p w14:paraId="0409932B">
      <w:pPr>
        <w:spacing w:after="0" w:line="240" w:lineRule="auto"/>
        <w:ind w:firstLine="709"/>
        <w:contextualSpacing/>
        <w:jc w:val="both"/>
        <w:rPr>
          <w:rFonts w:ascii="Times New Roman" w:hAnsi="Times New Roman" w:eastAsia="Calibri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sz w:val="28"/>
          <w:szCs w:val="28"/>
        </w:rPr>
        <w:t>- ООО «ГСС»</w:t>
      </w:r>
      <w:r>
        <w:rPr>
          <w:rFonts w:ascii="Times New Roman" w:hAnsi="Times New Roman" w:eastAsia="Calibri" w:cs="Times New Roman"/>
          <w:sz w:val="28"/>
          <w:szCs w:val="28"/>
          <w:lang w:eastAsia="ar-SA"/>
        </w:rPr>
        <w:t xml:space="preserve"> допущена выплата страхового возмещения в размере 700 тыс. рублей при страховании риска гражданской ответственности, наступившей при причинении вреда третьим лицам;</w:t>
      </w:r>
    </w:p>
    <w:p w14:paraId="58F4E4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судах находятся 3 иска к АО «Коттежд-Индустрия» о возмещении вреда (ущерба), связанного с недостатками выполненных работ;</w:t>
      </w:r>
    </w:p>
    <w:p w14:paraId="13B79D9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sz w:val="28"/>
          <w:szCs w:val="28"/>
        </w:rPr>
        <w:t xml:space="preserve"> ООО «РМУ» допустило 1 несчастный случай на производстве.</w:t>
      </w:r>
    </w:p>
    <w:p w14:paraId="1F68D93F">
      <w:pPr>
        <w:pStyle w:val="10"/>
        <w:shd w:val="clear" w:color="auto" w:fill="auto"/>
        <w:spacing w:line="240" w:lineRule="auto"/>
        <w:ind w:firstLine="709"/>
        <w:jc w:val="both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Согласно расчетам, произведенным в соответствии с «</w:t>
      </w:r>
      <w:r>
        <w:rPr>
          <w:bCs/>
          <w:sz w:val="28"/>
          <w:szCs w:val="28"/>
        </w:rPr>
        <w:t xml:space="preserve">Методикой расчета значений показателей…», утвержденной Приказом Минстроя РФ №669/пр от 10.04.2017 </w:t>
      </w:r>
      <w:r>
        <w:rPr>
          <w:spacing w:val="0"/>
          <w:sz w:val="28"/>
          <w:szCs w:val="28"/>
        </w:rPr>
        <w:t>организации, входящие в состав Ассоциации, отнесены к следующим категориям риска:</w:t>
      </w:r>
    </w:p>
    <w:p w14:paraId="55BBEA5A">
      <w:pPr>
        <w:pStyle w:val="10"/>
        <w:shd w:val="clear" w:color="auto" w:fill="auto"/>
        <w:spacing w:line="240" w:lineRule="auto"/>
        <w:ind w:firstLine="709"/>
        <w:jc w:val="both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- значительный риск – 1 организация (ООО «Карбофер Метсервис);</w:t>
      </w:r>
    </w:p>
    <w:p w14:paraId="0B5DF34B">
      <w:pPr>
        <w:pStyle w:val="10"/>
        <w:shd w:val="clear" w:color="auto" w:fill="auto"/>
        <w:spacing w:line="240" w:lineRule="auto"/>
        <w:ind w:firstLine="709"/>
        <w:jc w:val="both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- средний риск - 3 организации (АО «Воронежсинтезкаучук», АО «Коттедж-Индустрия», ООО «ГСС»);</w:t>
      </w:r>
    </w:p>
    <w:p w14:paraId="7DAB555E">
      <w:pPr>
        <w:pStyle w:val="10"/>
        <w:shd w:val="clear" w:color="auto" w:fill="auto"/>
        <w:spacing w:line="240" w:lineRule="auto"/>
        <w:ind w:firstLine="709"/>
        <w:jc w:val="both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- умеренная категория риска -1 организация (ООО «РМУ»);</w:t>
      </w:r>
    </w:p>
    <w:p w14:paraId="2FB05B11">
      <w:pPr>
        <w:pStyle w:val="10"/>
        <w:shd w:val="clear" w:color="auto" w:fill="auto"/>
        <w:spacing w:line="240" w:lineRule="auto"/>
        <w:ind w:firstLine="709"/>
        <w:jc w:val="both"/>
        <w:rPr>
          <w:b/>
          <w:spacing w:val="0"/>
          <w:sz w:val="28"/>
          <w:szCs w:val="28"/>
        </w:rPr>
      </w:pPr>
      <w:r>
        <w:rPr>
          <w:spacing w:val="0"/>
          <w:sz w:val="28"/>
          <w:szCs w:val="28"/>
        </w:rPr>
        <w:t>- низкая категория риска – остальные 19 организаций.</w:t>
      </w:r>
    </w:p>
    <w:p w14:paraId="5E2572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Полученные результаты расчета значений показателей риск-ориентированного подхода будут использованы в дальнейшем при планировании проверок организаций для уточнения вида, формы и предмета контроля.</w:t>
      </w:r>
    </w:p>
    <w:p w14:paraId="5F30587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>
      <w:footerReference r:id="rId5" w:type="default"/>
      <w:pgSz w:w="11906" w:h="16838"/>
      <w:pgMar w:top="1134" w:right="850" w:bottom="1134" w:left="1134" w:header="708" w:footer="708" w:gutter="0"/>
      <w:cols w:space="1276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68325C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0D8C"/>
    <w:rsid w:val="00001E51"/>
    <w:rsid w:val="00004FBF"/>
    <w:rsid w:val="000054F5"/>
    <w:rsid w:val="00006A46"/>
    <w:rsid w:val="000158CD"/>
    <w:rsid w:val="00021E62"/>
    <w:rsid w:val="00023D8D"/>
    <w:rsid w:val="000348EB"/>
    <w:rsid w:val="00037393"/>
    <w:rsid w:val="00046B72"/>
    <w:rsid w:val="0005650D"/>
    <w:rsid w:val="00063EA7"/>
    <w:rsid w:val="0008006D"/>
    <w:rsid w:val="000910F6"/>
    <w:rsid w:val="000A2790"/>
    <w:rsid w:val="000B10D2"/>
    <w:rsid w:val="000B202C"/>
    <w:rsid w:val="000B41D9"/>
    <w:rsid w:val="000C296B"/>
    <w:rsid w:val="000C665A"/>
    <w:rsid w:val="000E2112"/>
    <w:rsid w:val="001267FC"/>
    <w:rsid w:val="00154899"/>
    <w:rsid w:val="0017148C"/>
    <w:rsid w:val="00172A27"/>
    <w:rsid w:val="00186750"/>
    <w:rsid w:val="001910D8"/>
    <w:rsid w:val="00194125"/>
    <w:rsid w:val="00194691"/>
    <w:rsid w:val="001B1C38"/>
    <w:rsid w:val="001B5F05"/>
    <w:rsid w:val="001D1593"/>
    <w:rsid w:val="001D5930"/>
    <w:rsid w:val="001E1BBD"/>
    <w:rsid w:val="001E4457"/>
    <w:rsid w:val="001F2320"/>
    <w:rsid w:val="00203FD3"/>
    <w:rsid w:val="0021133A"/>
    <w:rsid w:val="00223257"/>
    <w:rsid w:val="00223F46"/>
    <w:rsid w:val="002269AC"/>
    <w:rsid w:val="00234855"/>
    <w:rsid w:val="00234F5E"/>
    <w:rsid w:val="0024112B"/>
    <w:rsid w:val="00252E8D"/>
    <w:rsid w:val="0025463C"/>
    <w:rsid w:val="002659BC"/>
    <w:rsid w:val="00272567"/>
    <w:rsid w:val="002753AA"/>
    <w:rsid w:val="0027795F"/>
    <w:rsid w:val="00283CEE"/>
    <w:rsid w:val="00285B07"/>
    <w:rsid w:val="00291C73"/>
    <w:rsid w:val="00293AB7"/>
    <w:rsid w:val="00294157"/>
    <w:rsid w:val="0029621F"/>
    <w:rsid w:val="002A0ECD"/>
    <w:rsid w:val="002C52BD"/>
    <w:rsid w:val="002C550B"/>
    <w:rsid w:val="002D0CBF"/>
    <w:rsid w:val="002D53D1"/>
    <w:rsid w:val="002E2EB4"/>
    <w:rsid w:val="002E3D0B"/>
    <w:rsid w:val="002E7308"/>
    <w:rsid w:val="002F0978"/>
    <w:rsid w:val="002F503C"/>
    <w:rsid w:val="003014A9"/>
    <w:rsid w:val="00303DA3"/>
    <w:rsid w:val="003130E8"/>
    <w:rsid w:val="00316DDB"/>
    <w:rsid w:val="00317E8A"/>
    <w:rsid w:val="00320E89"/>
    <w:rsid w:val="00324F0A"/>
    <w:rsid w:val="00327592"/>
    <w:rsid w:val="0032760E"/>
    <w:rsid w:val="00333465"/>
    <w:rsid w:val="003449AB"/>
    <w:rsid w:val="00345C3E"/>
    <w:rsid w:val="00346A0F"/>
    <w:rsid w:val="00346B09"/>
    <w:rsid w:val="00360C1E"/>
    <w:rsid w:val="003613AA"/>
    <w:rsid w:val="00370027"/>
    <w:rsid w:val="00370A63"/>
    <w:rsid w:val="003710C5"/>
    <w:rsid w:val="0038149A"/>
    <w:rsid w:val="00383095"/>
    <w:rsid w:val="00383D1E"/>
    <w:rsid w:val="0038599D"/>
    <w:rsid w:val="00387FEA"/>
    <w:rsid w:val="00390AA9"/>
    <w:rsid w:val="00394E73"/>
    <w:rsid w:val="0039755D"/>
    <w:rsid w:val="003A546A"/>
    <w:rsid w:val="003A7BEE"/>
    <w:rsid w:val="003A7CE2"/>
    <w:rsid w:val="003B10E1"/>
    <w:rsid w:val="003C4331"/>
    <w:rsid w:val="003C6305"/>
    <w:rsid w:val="003E4C12"/>
    <w:rsid w:val="003F6A8C"/>
    <w:rsid w:val="00403824"/>
    <w:rsid w:val="00404BA4"/>
    <w:rsid w:val="00404C96"/>
    <w:rsid w:val="00416727"/>
    <w:rsid w:val="0042464A"/>
    <w:rsid w:val="00431602"/>
    <w:rsid w:val="00440C36"/>
    <w:rsid w:val="0044483C"/>
    <w:rsid w:val="00452D05"/>
    <w:rsid w:val="00461B8D"/>
    <w:rsid w:val="00462A43"/>
    <w:rsid w:val="0047463D"/>
    <w:rsid w:val="00477CA5"/>
    <w:rsid w:val="00483855"/>
    <w:rsid w:val="004857F3"/>
    <w:rsid w:val="00495813"/>
    <w:rsid w:val="004A54F2"/>
    <w:rsid w:val="004A766C"/>
    <w:rsid w:val="004A7DE2"/>
    <w:rsid w:val="004B31C9"/>
    <w:rsid w:val="004B4C8D"/>
    <w:rsid w:val="004B5888"/>
    <w:rsid w:val="004D798A"/>
    <w:rsid w:val="004D79D1"/>
    <w:rsid w:val="004E280E"/>
    <w:rsid w:val="004F23D8"/>
    <w:rsid w:val="00503997"/>
    <w:rsid w:val="005048C6"/>
    <w:rsid w:val="00505AC6"/>
    <w:rsid w:val="0051229E"/>
    <w:rsid w:val="00512BE0"/>
    <w:rsid w:val="00513B1C"/>
    <w:rsid w:val="005247D3"/>
    <w:rsid w:val="0052600F"/>
    <w:rsid w:val="005336B3"/>
    <w:rsid w:val="00534CA6"/>
    <w:rsid w:val="00536202"/>
    <w:rsid w:val="00554ED0"/>
    <w:rsid w:val="00555D75"/>
    <w:rsid w:val="00563677"/>
    <w:rsid w:val="00563DAC"/>
    <w:rsid w:val="00595BBC"/>
    <w:rsid w:val="005A596B"/>
    <w:rsid w:val="005B201B"/>
    <w:rsid w:val="005C543F"/>
    <w:rsid w:val="005F2734"/>
    <w:rsid w:val="005F27A2"/>
    <w:rsid w:val="005F3C2D"/>
    <w:rsid w:val="005F3E10"/>
    <w:rsid w:val="00604E91"/>
    <w:rsid w:val="006076B9"/>
    <w:rsid w:val="006220D3"/>
    <w:rsid w:val="006625B1"/>
    <w:rsid w:val="0066391D"/>
    <w:rsid w:val="00667347"/>
    <w:rsid w:val="00670633"/>
    <w:rsid w:val="00672D2B"/>
    <w:rsid w:val="00675779"/>
    <w:rsid w:val="00676FF4"/>
    <w:rsid w:val="0067729A"/>
    <w:rsid w:val="00682E4C"/>
    <w:rsid w:val="0069437B"/>
    <w:rsid w:val="006952A6"/>
    <w:rsid w:val="006B5F31"/>
    <w:rsid w:val="006C4970"/>
    <w:rsid w:val="006C674D"/>
    <w:rsid w:val="006E513A"/>
    <w:rsid w:val="006F0871"/>
    <w:rsid w:val="006F34EC"/>
    <w:rsid w:val="006F5B22"/>
    <w:rsid w:val="00702A26"/>
    <w:rsid w:val="00714DD0"/>
    <w:rsid w:val="007235D5"/>
    <w:rsid w:val="00724747"/>
    <w:rsid w:val="00726502"/>
    <w:rsid w:val="00726F55"/>
    <w:rsid w:val="00747276"/>
    <w:rsid w:val="007553EA"/>
    <w:rsid w:val="00761FBB"/>
    <w:rsid w:val="0077348E"/>
    <w:rsid w:val="007A2D05"/>
    <w:rsid w:val="007A59D4"/>
    <w:rsid w:val="007C625F"/>
    <w:rsid w:val="007D5CDD"/>
    <w:rsid w:val="007E0F6F"/>
    <w:rsid w:val="007E1DF0"/>
    <w:rsid w:val="00821524"/>
    <w:rsid w:val="0082376D"/>
    <w:rsid w:val="008277F7"/>
    <w:rsid w:val="00827EAC"/>
    <w:rsid w:val="00835728"/>
    <w:rsid w:val="008447F9"/>
    <w:rsid w:val="00853043"/>
    <w:rsid w:val="008626C5"/>
    <w:rsid w:val="00864B33"/>
    <w:rsid w:val="00872DD5"/>
    <w:rsid w:val="00883525"/>
    <w:rsid w:val="0088391B"/>
    <w:rsid w:val="008A26EF"/>
    <w:rsid w:val="008C0738"/>
    <w:rsid w:val="008C3C80"/>
    <w:rsid w:val="008C57EA"/>
    <w:rsid w:val="008C60E5"/>
    <w:rsid w:val="008C648D"/>
    <w:rsid w:val="008F0407"/>
    <w:rsid w:val="00901787"/>
    <w:rsid w:val="00904D31"/>
    <w:rsid w:val="00917B6A"/>
    <w:rsid w:val="00927DC4"/>
    <w:rsid w:val="00930E64"/>
    <w:rsid w:val="00932336"/>
    <w:rsid w:val="00932B95"/>
    <w:rsid w:val="00942BAD"/>
    <w:rsid w:val="00952FB5"/>
    <w:rsid w:val="00966290"/>
    <w:rsid w:val="00967E00"/>
    <w:rsid w:val="00980490"/>
    <w:rsid w:val="00984D86"/>
    <w:rsid w:val="00992A4F"/>
    <w:rsid w:val="009A3753"/>
    <w:rsid w:val="009A5E8B"/>
    <w:rsid w:val="009B01E2"/>
    <w:rsid w:val="009B6E46"/>
    <w:rsid w:val="009C0365"/>
    <w:rsid w:val="009C6A99"/>
    <w:rsid w:val="009D1559"/>
    <w:rsid w:val="009D48B7"/>
    <w:rsid w:val="009E0253"/>
    <w:rsid w:val="009E2BF7"/>
    <w:rsid w:val="009E6B56"/>
    <w:rsid w:val="009F6D84"/>
    <w:rsid w:val="00A0411C"/>
    <w:rsid w:val="00A0593A"/>
    <w:rsid w:val="00A140B3"/>
    <w:rsid w:val="00A14EC2"/>
    <w:rsid w:val="00A34FC4"/>
    <w:rsid w:val="00A40ED6"/>
    <w:rsid w:val="00A47998"/>
    <w:rsid w:val="00A51FF9"/>
    <w:rsid w:val="00A54D93"/>
    <w:rsid w:val="00A64639"/>
    <w:rsid w:val="00A648EA"/>
    <w:rsid w:val="00A81FD8"/>
    <w:rsid w:val="00A86D0B"/>
    <w:rsid w:val="00A90FF5"/>
    <w:rsid w:val="00A93B28"/>
    <w:rsid w:val="00A97AAD"/>
    <w:rsid w:val="00AA54EE"/>
    <w:rsid w:val="00AB1E8C"/>
    <w:rsid w:val="00AB2200"/>
    <w:rsid w:val="00AB2E7F"/>
    <w:rsid w:val="00AB4147"/>
    <w:rsid w:val="00AB5791"/>
    <w:rsid w:val="00AB7732"/>
    <w:rsid w:val="00AB7917"/>
    <w:rsid w:val="00AC68F1"/>
    <w:rsid w:val="00AD75A9"/>
    <w:rsid w:val="00AE3F0A"/>
    <w:rsid w:val="00AF2425"/>
    <w:rsid w:val="00AF3849"/>
    <w:rsid w:val="00AF5630"/>
    <w:rsid w:val="00AF6B95"/>
    <w:rsid w:val="00AF702A"/>
    <w:rsid w:val="00B00738"/>
    <w:rsid w:val="00B022A2"/>
    <w:rsid w:val="00B04BC2"/>
    <w:rsid w:val="00B05342"/>
    <w:rsid w:val="00B10871"/>
    <w:rsid w:val="00B110AA"/>
    <w:rsid w:val="00B16DAF"/>
    <w:rsid w:val="00B16DC4"/>
    <w:rsid w:val="00B20BE0"/>
    <w:rsid w:val="00B27631"/>
    <w:rsid w:val="00B30D53"/>
    <w:rsid w:val="00B327CC"/>
    <w:rsid w:val="00B45A6D"/>
    <w:rsid w:val="00B45ED5"/>
    <w:rsid w:val="00B45F43"/>
    <w:rsid w:val="00B57B48"/>
    <w:rsid w:val="00B57E1B"/>
    <w:rsid w:val="00B61B81"/>
    <w:rsid w:val="00B7437A"/>
    <w:rsid w:val="00B777B4"/>
    <w:rsid w:val="00B77F51"/>
    <w:rsid w:val="00B81E82"/>
    <w:rsid w:val="00B83448"/>
    <w:rsid w:val="00B85414"/>
    <w:rsid w:val="00B929F0"/>
    <w:rsid w:val="00B93C13"/>
    <w:rsid w:val="00B968F3"/>
    <w:rsid w:val="00BA4D15"/>
    <w:rsid w:val="00BA6CDC"/>
    <w:rsid w:val="00BB56E7"/>
    <w:rsid w:val="00BB5B6F"/>
    <w:rsid w:val="00BB5BFA"/>
    <w:rsid w:val="00BB67BE"/>
    <w:rsid w:val="00BC1064"/>
    <w:rsid w:val="00BC1865"/>
    <w:rsid w:val="00BD304A"/>
    <w:rsid w:val="00BD664C"/>
    <w:rsid w:val="00BD78CA"/>
    <w:rsid w:val="00BE5038"/>
    <w:rsid w:val="00C12BF6"/>
    <w:rsid w:val="00C12F08"/>
    <w:rsid w:val="00C25B54"/>
    <w:rsid w:val="00C25EC2"/>
    <w:rsid w:val="00C2685C"/>
    <w:rsid w:val="00C30F13"/>
    <w:rsid w:val="00C36037"/>
    <w:rsid w:val="00C4230F"/>
    <w:rsid w:val="00C44484"/>
    <w:rsid w:val="00C458AB"/>
    <w:rsid w:val="00C50424"/>
    <w:rsid w:val="00C51E79"/>
    <w:rsid w:val="00C5339B"/>
    <w:rsid w:val="00C803B5"/>
    <w:rsid w:val="00C81875"/>
    <w:rsid w:val="00C857EA"/>
    <w:rsid w:val="00C8590E"/>
    <w:rsid w:val="00C87301"/>
    <w:rsid w:val="00C97403"/>
    <w:rsid w:val="00CB3098"/>
    <w:rsid w:val="00CD3161"/>
    <w:rsid w:val="00CD37AA"/>
    <w:rsid w:val="00CE3A17"/>
    <w:rsid w:val="00CF4BDA"/>
    <w:rsid w:val="00CF6E92"/>
    <w:rsid w:val="00D1174C"/>
    <w:rsid w:val="00D131AD"/>
    <w:rsid w:val="00D148B4"/>
    <w:rsid w:val="00D15C89"/>
    <w:rsid w:val="00D224A0"/>
    <w:rsid w:val="00D314DA"/>
    <w:rsid w:val="00D325AF"/>
    <w:rsid w:val="00D3480C"/>
    <w:rsid w:val="00D35FFD"/>
    <w:rsid w:val="00D4597B"/>
    <w:rsid w:val="00D5458B"/>
    <w:rsid w:val="00D54EF0"/>
    <w:rsid w:val="00D84B13"/>
    <w:rsid w:val="00D87F57"/>
    <w:rsid w:val="00D90174"/>
    <w:rsid w:val="00D9273E"/>
    <w:rsid w:val="00D943A1"/>
    <w:rsid w:val="00DA43EE"/>
    <w:rsid w:val="00DB2BAD"/>
    <w:rsid w:val="00DB6FAF"/>
    <w:rsid w:val="00DC4592"/>
    <w:rsid w:val="00DC5973"/>
    <w:rsid w:val="00DC7906"/>
    <w:rsid w:val="00DD114C"/>
    <w:rsid w:val="00DD18BA"/>
    <w:rsid w:val="00DD56AE"/>
    <w:rsid w:val="00DD685E"/>
    <w:rsid w:val="00DF3EB4"/>
    <w:rsid w:val="00DF4605"/>
    <w:rsid w:val="00DF65E3"/>
    <w:rsid w:val="00E0167A"/>
    <w:rsid w:val="00E26465"/>
    <w:rsid w:val="00E27EC9"/>
    <w:rsid w:val="00E53B17"/>
    <w:rsid w:val="00E562F9"/>
    <w:rsid w:val="00E66BA0"/>
    <w:rsid w:val="00E729E1"/>
    <w:rsid w:val="00E81FD4"/>
    <w:rsid w:val="00E90B7C"/>
    <w:rsid w:val="00E95B9B"/>
    <w:rsid w:val="00EA4AC9"/>
    <w:rsid w:val="00EA695A"/>
    <w:rsid w:val="00EB1D53"/>
    <w:rsid w:val="00EB42B9"/>
    <w:rsid w:val="00ED04D4"/>
    <w:rsid w:val="00ED524C"/>
    <w:rsid w:val="00ED7A8F"/>
    <w:rsid w:val="00EE2761"/>
    <w:rsid w:val="00EE2F8D"/>
    <w:rsid w:val="00F05B6A"/>
    <w:rsid w:val="00F11552"/>
    <w:rsid w:val="00F15F85"/>
    <w:rsid w:val="00F3004B"/>
    <w:rsid w:val="00F33571"/>
    <w:rsid w:val="00F43F9C"/>
    <w:rsid w:val="00F44115"/>
    <w:rsid w:val="00F46DFE"/>
    <w:rsid w:val="00F561CE"/>
    <w:rsid w:val="00F60B9A"/>
    <w:rsid w:val="00F63E86"/>
    <w:rsid w:val="00F67174"/>
    <w:rsid w:val="00F869DE"/>
    <w:rsid w:val="00F87277"/>
    <w:rsid w:val="00F902EF"/>
    <w:rsid w:val="00F90690"/>
    <w:rsid w:val="00F915D9"/>
    <w:rsid w:val="00F975D5"/>
    <w:rsid w:val="00FA3CD9"/>
    <w:rsid w:val="00FB043A"/>
    <w:rsid w:val="00FB3992"/>
    <w:rsid w:val="00FB498C"/>
    <w:rsid w:val="00FC2C71"/>
    <w:rsid w:val="00FD14F9"/>
    <w:rsid w:val="00FF1BD5"/>
    <w:rsid w:val="016625B5"/>
    <w:rsid w:val="03440D4A"/>
    <w:rsid w:val="03443756"/>
    <w:rsid w:val="03FA7041"/>
    <w:rsid w:val="085B3D99"/>
    <w:rsid w:val="0B602690"/>
    <w:rsid w:val="0CB60144"/>
    <w:rsid w:val="0EA54573"/>
    <w:rsid w:val="146B2BCA"/>
    <w:rsid w:val="187062B7"/>
    <w:rsid w:val="191060B9"/>
    <w:rsid w:val="199B3D80"/>
    <w:rsid w:val="1C20460B"/>
    <w:rsid w:val="1CB11BDD"/>
    <w:rsid w:val="1CD55DB6"/>
    <w:rsid w:val="219801C9"/>
    <w:rsid w:val="25997080"/>
    <w:rsid w:val="32564F18"/>
    <w:rsid w:val="381A5A19"/>
    <w:rsid w:val="408C66CD"/>
    <w:rsid w:val="461676A5"/>
    <w:rsid w:val="48312E19"/>
    <w:rsid w:val="4FCB7566"/>
    <w:rsid w:val="534651FB"/>
    <w:rsid w:val="58185685"/>
    <w:rsid w:val="58562232"/>
    <w:rsid w:val="59AC4588"/>
    <w:rsid w:val="607B7ED7"/>
    <w:rsid w:val="62744F03"/>
    <w:rsid w:val="63E44413"/>
    <w:rsid w:val="65970A2F"/>
    <w:rsid w:val="65AC2396"/>
    <w:rsid w:val="6A100563"/>
    <w:rsid w:val="6F430A39"/>
    <w:rsid w:val="705321C4"/>
    <w:rsid w:val="781E2CAF"/>
    <w:rsid w:val="7ABF20E1"/>
    <w:rsid w:val="7AD60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7">
    <w:name w:val="Основной текст1"/>
    <w:basedOn w:val="2"/>
    <w:qFormat/>
    <w:uiPriority w:val="0"/>
    <w:rPr>
      <w:rFonts w:eastAsia="Times New Roman"/>
      <w:color w:val="212324"/>
      <w:spacing w:val="11"/>
      <w:w w:val="100"/>
      <w:position w:val="0"/>
      <w:sz w:val="24"/>
      <w:szCs w:val="24"/>
      <w:shd w:val="clear" w:color="auto" w:fill="FFFFFF"/>
      <w:lang w:val="ru-RU"/>
    </w:rPr>
  </w:style>
  <w:style w:type="paragraph" w:styleId="8">
    <w:name w:val="List Paragraph"/>
    <w:basedOn w:val="1"/>
    <w:qFormat/>
    <w:uiPriority w:val="34"/>
    <w:pPr>
      <w:spacing w:after="0" w:line="360" w:lineRule="auto"/>
      <w:ind w:left="720" w:right="91" w:firstLine="709"/>
      <w:contextualSpacing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9">
    <w:name w:val="Подпись к таблице_"/>
    <w:basedOn w:val="2"/>
    <w:link w:val="10"/>
    <w:qFormat/>
    <w:uiPriority w:val="0"/>
    <w:rPr>
      <w:rFonts w:ascii="Times New Roman" w:hAnsi="Times New Roman" w:eastAsia="Times New Roman" w:cs="Times New Roman"/>
      <w:spacing w:val="5"/>
      <w:shd w:val="clear" w:color="auto" w:fill="FFFFFF"/>
    </w:rPr>
  </w:style>
  <w:style w:type="paragraph" w:customStyle="1" w:styleId="10">
    <w:name w:val="Подпись к таблице"/>
    <w:basedOn w:val="1"/>
    <w:link w:val="9"/>
    <w:qFormat/>
    <w:uiPriority w:val="0"/>
    <w:pPr>
      <w:widowControl w:val="0"/>
      <w:shd w:val="clear" w:color="auto" w:fill="FFFFFF"/>
      <w:spacing w:after="0" w:line="0" w:lineRule="atLeast"/>
    </w:pPr>
    <w:rPr>
      <w:rFonts w:ascii="Times New Roman" w:hAnsi="Times New Roman" w:eastAsia="Times New Roman" w:cs="Times New Roman"/>
      <w:spacing w:val="5"/>
    </w:rPr>
  </w:style>
  <w:style w:type="character" w:customStyle="1" w:styleId="11">
    <w:name w:val="Верхний колонтитул Знак"/>
    <w:basedOn w:val="2"/>
    <w:link w:val="5"/>
    <w:qFormat/>
    <w:uiPriority w:val="99"/>
  </w:style>
  <w:style w:type="character" w:customStyle="1" w:styleId="12">
    <w:name w:val="Нижний колонтитул Знак"/>
    <w:basedOn w:val="2"/>
    <w:link w:val="6"/>
    <w:qFormat/>
    <w:uiPriority w:val="99"/>
  </w:style>
  <w:style w:type="character" w:customStyle="1" w:styleId="13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FEC1E-0390-4C5F-99CE-6CBEBC4E12B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9</Pages>
  <Words>2669</Words>
  <Characters>17668</Characters>
  <Lines>144</Lines>
  <Paragraphs>40</Paragraphs>
  <TotalTime>4</TotalTime>
  <ScaleCrop>false</ScaleCrop>
  <LinksUpToDate>false</LinksUpToDate>
  <CharactersWithSpaces>20280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2022-04-27T06:53:00Z</dcterms:created>
  <dc:creator>Власова Евгения Игоревна</dc:creator>
  <cp:lastModifiedBy>bublikov_ps</cp:lastModifiedBy>
  <cp:lastPrinted>2026-05-13T05:41:00Z</cp:lastPrinted>
  <dcterms:modified xsi:type="dcterms:W3CDTF">2026-06-15T06:16:33Z</dcterms:modified>
  <cp:revision>295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8EF37AEA7C7543CDB40DDFDB454DD70E_12</vt:lpwstr>
  </property>
  <property fmtid="{D5CDD505-2E9C-101B-9397-08002B2CF9AE}" pid="4" name="KSOTemplateDocerSaveRecord">
    <vt:lpwstr>eyJoZGlkIjoiODExNTZkOTViYzhmYjE3OTc3MmY1NWM5YTlmZmZmYTgifQ==</vt:lpwstr>
  </property>
</Properties>
</file>